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19" w:tblpY="-660"/>
        <w:tblW w:w="19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7577"/>
      </w:tblGrid>
      <w:tr w:rsidR="00C96F24" w:rsidRPr="001B0828" w14:paraId="7BF6E0F7" w14:textId="77777777" w:rsidTr="00C33B8B">
        <w:trPr>
          <w:trHeight w:val="38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823C" w14:textId="77777777" w:rsidR="00C96F24" w:rsidRPr="001B0828" w:rsidRDefault="00C96F24" w:rsidP="001B0828">
            <w:pPr>
              <w:spacing w:after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7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14:paraId="6AE2056C" w14:textId="5A848D83" w:rsidR="00C96F24" w:rsidRPr="00720B8C" w:rsidRDefault="00C96F24" w:rsidP="001B082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20B8C">
              <w:rPr>
                <w:rFonts w:cstheme="minorHAnsi"/>
                <w:b/>
                <w:bCs/>
                <w:sz w:val="32"/>
                <w:szCs w:val="32"/>
              </w:rPr>
              <w:t xml:space="preserve">Introduction to Digital Skills </w:t>
            </w:r>
            <w:r w:rsidR="007C5923">
              <w:rPr>
                <w:rFonts w:cstheme="minorHAnsi"/>
                <w:b/>
                <w:bCs/>
                <w:sz w:val="32"/>
                <w:szCs w:val="32"/>
              </w:rPr>
              <w:t>–</w:t>
            </w:r>
            <w:r w:rsidR="007C5923">
              <w:t xml:space="preserve"> </w:t>
            </w:r>
            <w:r w:rsidR="007C5923" w:rsidRPr="007C5923">
              <w:rPr>
                <w:rFonts w:cstheme="minorHAnsi"/>
                <w:b/>
                <w:bCs/>
                <w:sz w:val="32"/>
                <w:szCs w:val="32"/>
              </w:rPr>
              <w:t xml:space="preserve">SQA </w:t>
            </w:r>
            <w:r w:rsidR="007C5923">
              <w:rPr>
                <w:rFonts w:cstheme="minorHAnsi"/>
                <w:b/>
                <w:bCs/>
                <w:sz w:val="32"/>
                <w:szCs w:val="32"/>
              </w:rPr>
              <w:t xml:space="preserve">NQ </w:t>
            </w:r>
            <w:r w:rsidR="007C5923" w:rsidRPr="007C5923">
              <w:rPr>
                <w:rFonts w:cstheme="minorHAnsi"/>
                <w:b/>
                <w:bCs/>
                <w:sz w:val="32"/>
                <w:szCs w:val="32"/>
              </w:rPr>
              <w:t>Data Skills SCQF 3</w:t>
            </w:r>
          </w:p>
        </w:tc>
      </w:tr>
      <w:tr w:rsidR="00C96F24" w:rsidRPr="001B0828" w14:paraId="03A0FF90" w14:textId="77777777" w:rsidTr="00C33B8B">
        <w:trPr>
          <w:trHeight w:val="7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0C0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What?</w:t>
            </w:r>
          </w:p>
          <w:p w14:paraId="1E23BAAE" w14:textId="77777777" w:rsidR="00C96F24" w:rsidRPr="00104DA3" w:rsidRDefault="00C96F24" w:rsidP="001B082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DDA1D41" w14:textId="042157F9" w:rsidR="00C96F24" w:rsidRPr="00EF7793" w:rsidRDefault="00720B8C" w:rsidP="00EF7793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The purpose of the course is to help learners to gain and develop essential digital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data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skills by using a range of digital devices, software applications and tools safely and securely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>. Nowadays 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hese 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core IT and data 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skills are crucial for</w:t>
            </w:r>
            <w:r w:rsidR="00F66109"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further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learning, </w:t>
            </w:r>
            <w:proofErr w:type="gramStart"/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life</w:t>
            </w:r>
            <w:proofErr w:type="gramEnd"/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work.</w:t>
            </w:r>
            <w:r w:rsidR="002C3D4A"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 </w:t>
            </w:r>
            <w:r w:rsidR="00026310">
              <w:rPr>
                <w:rFonts w:ascii="Tahoma" w:hAnsi="Tahoma" w:cs="Tahoma"/>
                <w:color w:val="000000"/>
                <w:sz w:val="20"/>
                <w:szCs w:val="20"/>
              </w:rPr>
              <w:t>focus</w:t>
            </w:r>
            <w:r w:rsidR="007563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of the course is to </w:t>
            </w:r>
            <w:r w:rsidR="00756312" w:rsidRPr="000263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equip the participants with the fundamental sk</w:t>
            </w:r>
            <w:r w:rsidR="00335BC5" w:rsidRPr="000263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ills in Microsoft Excel and basic knowledge around data</w:t>
            </w:r>
            <w:r w:rsidR="00756312">
              <w:rPr>
                <w:rFonts w:ascii="Tahoma" w:hAnsi="Tahoma" w:cs="Tahoma"/>
                <w:color w:val="000000"/>
                <w:sz w:val="20"/>
                <w:szCs w:val="20"/>
              </w:rPr>
              <w:t>, however, it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also encourages learners to develop self-management skills, social </w:t>
            </w:r>
            <w:proofErr w:type="gramStart"/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intelligence</w:t>
            </w:r>
            <w:proofErr w:type="gramEnd"/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innovation. </w:t>
            </w:r>
            <w:r w:rsidR="00440417">
              <w:rPr>
                <w:rFonts w:ascii="Tahoma" w:hAnsi="Tahoma" w:cs="Tahoma"/>
                <w:color w:val="000000"/>
                <w:sz w:val="20"/>
                <w:szCs w:val="20"/>
              </w:rPr>
              <w:t>It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suitable for all learners.</w:t>
            </w:r>
          </w:p>
        </w:tc>
      </w:tr>
      <w:tr w:rsidR="00C96F24" w:rsidRPr="001B0828" w14:paraId="516BF4DA" w14:textId="77777777" w:rsidTr="00C33B8B">
        <w:trPr>
          <w:trHeight w:val="3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EC96" w14:textId="77777777" w:rsidR="00C96F24" w:rsidRPr="00104DA3" w:rsidRDefault="00AB10F0" w:rsidP="001B0828">
            <w:pPr>
              <w:spacing w:after="0"/>
              <w:rPr>
                <w:rFonts w:cstheme="minorHAnsi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When?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8A637CC" w14:textId="77777777" w:rsidR="00331C56" w:rsidRDefault="00DF4C29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Mondays from 10:00 a</w:t>
            </w:r>
            <w:r w:rsidR="00756312">
              <w:rPr>
                <w:rFonts w:ascii="Tahoma" w:hAnsi="Tahoma" w:cs="Tahoma"/>
                <w:b/>
                <w:sz w:val="20"/>
                <w:szCs w:val="20"/>
              </w:rPr>
              <w:t xml:space="preserve">m 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1:0</w:t>
            </w:r>
            <w:r w:rsidR="00C96F24" w:rsidRPr="00104DA3">
              <w:rPr>
                <w:rFonts w:ascii="Tahoma" w:hAnsi="Tahoma" w:cs="Tahoma"/>
                <w:b/>
                <w:sz w:val="20"/>
                <w:szCs w:val="20"/>
              </w:rPr>
              <w:t>0 pm</w:t>
            </w:r>
            <w:r w:rsidR="001D0735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77216D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02631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D435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77216D">
              <w:rPr>
                <w:rFonts w:ascii="Tahoma" w:hAnsi="Tahoma" w:cs="Tahoma"/>
                <w:b/>
                <w:bCs/>
                <w:sz w:val="20"/>
                <w:szCs w:val="20"/>
              </w:rPr>
              <w:t>August</w:t>
            </w:r>
            <w:r w:rsidR="007563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</w:t>
            </w:r>
            <w:r w:rsidR="00026310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9305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</w:t>
            </w:r>
            <w:r w:rsidR="0077216D">
              <w:rPr>
                <w:rFonts w:ascii="Tahoma" w:hAnsi="Tahoma" w:cs="Tahoma"/>
                <w:b/>
                <w:bCs/>
                <w:sz w:val="20"/>
                <w:szCs w:val="20"/>
              </w:rPr>
              <w:t>28</w:t>
            </w:r>
            <w:r w:rsidR="00930554" w:rsidRPr="0093055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9305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77216D">
              <w:rPr>
                <w:rFonts w:ascii="Tahoma" w:hAnsi="Tahoma" w:cs="Tahoma"/>
                <w:b/>
                <w:bCs/>
                <w:sz w:val="20"/>
                <w:szCs w:val="20"/>
              </w:rPr>
              <w:t>October</w:t>
            </w:r>
            <w:r w:rsidR="009305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2024</w:t>
            </w:r>
            <w:r w:rsidR="001D07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D0735" w:rsidRPr="000611D9">
              <w:rPr>
                <w:rFonts w:ascii="Tahoma" w:hAnsi="Tahoma" w:cs="Tahoma"/>
                <w:bCs/>
                <w:sz w:val="20"/>
                <w:szCs w:val="20"/>
              </w:rPr>
              <w:t xml:space="preserve">(college holidays excluded – college calendar </w:t>
            </w:r>
            <w:hyperlink r:id="rId8" w:history="1">
              <w:r w:rsidR="001D0735" w:rsidRPr="000611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here</w:t>
              </w:r>
            </w:hyperlink>
            <w:r w:rsidR="001D0735" w:rsidRPr="000611D9">
              <w:rPr>
                <w:rFonts w:ascii="Tahoma" w:hAnsi="Tahoma" w:cs="Tahoma"/>
                <w:bCs/>
                <w:sz w:val="20"/>
                <w:szCs w:val="20"/>
              </w:rPr>
              <w:t>),</w:t>
            </w:r>
            <w:r w:rsidR="001D0735" w:rsidRPr="00104DA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7216D" w:rsidRPr="001D0735">
              <w:rPr>
                <w:rFonts w:ascii="Tahoma" w:hAnsi="Tahoma" w:cs="Tahoma"/>
                <w:b/>
                <w:bCs/>
                <w:sz w:val="20"/>
                <w:szCs w:val="20"/>
              </w:rPr>
              <w:t>with induction and IT set up on 19</w:t>
            </w:r>
            <w:r w:rsidR="00DD7C27" w:rsidRPr="001D0735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DD7C2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77216D">
              <w:rPr>
                <w:rFonts w:ascii="Tahoma" w:hAnsi="Tahoma" w:cs="Tahoma"/>
                <w:b/>
                <w:bCs/>
                <w:sz w:val="20"/>
                <w:szCs w:val="20"/>
              </w:rPr>
              <w:t>August 2024.</w:t>
            </w:r>
            <w:r w:rsidR="001D07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38700A">
              <w:rPr>
                <w:rFonts w:ascii="Tahoma" w:hAnsi="Tahoma" w:cs="Tahoma"/>
                <w:sz w:val="20"/>
                <w:szCs w:val="20"/>
              </w:rPr>
              <w:t>D</w:t>
            </w:r>
            <w:r w:rsidR="0038700A" w:rsidRPr="00331C56">
              <w:rPr>
                <w:rFonts w:ascii="Tahoma" w:hAnsi="Tahoma" w:cs="Tahoma"/>
                <w:sz w:val="20"/>
                <w:szCs w:val="20"/>
              </w:rPr>
              <w:t>epend</w:t>
            </w:r>
            <w:r w:rsidR="0038700A">
              <w:rPr>
                <w:rFonts w:ascii="Tahoma" w:hAnsi="Tahoma" w:cs="Tahoma"/>
                <w:sz w:val="20"/>
                <w:szCs w:val="20"/>
              </w:rPr>
              <w:t>ing</w:t>
            </w:r>
            <w:r w:rsidR="0038700A" w:rsidRPr="00331C56">
              <w:rPr>
                <w:rFonts w:ascii="Tahoma" w:hAnsi="Tahoma" w:cs="Tahoma"/>
                <w:sz w:val="20"/>
                <w:szCs w:val="20"/>
              </w:rPr>
              <w:t xml:space="preserve"> on individual skills and pace of work</w:t>
            </w:r>
            <w:r w:rsidR="0038700A">
              <w:rPr>
                <w:rFonts w:ascii="Tahoma" w:hAnsi="Tahoma" w:cs="Tahoma"/>
                <w:sz w:val="20"/>
                <w:szCs w:val="20"/>
              </w:rPr>
              <w:t>,</w:t>
            </w:r>
            <w:r w:rsidR="0038700A" w:rsidRPr="001D07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700A">
              <w:rPr>
                <w:rFonts w:ascii="Tahoma" w:hAnsi="Tahoma" w:cs="Tahoma"/>
                <w:sz w:val="20"/>
                <w:szCs w:val="20"/>
              </w:rPr>
              <w:t>t</w:t>
            </w:r>
            <w:r w:rsidR="00331C56" w:rsidRPr="001D0735">
              <w:rPr>
                <w:rFonts w:ascii="Tahoma" w:hAnsi="Tahoma" w:cs="Tahoma"/>
                <w:sz w:val="20"/>
                <w:szCs w:val="20"/>
              </w:rPr>
              <w:t>his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 xml:space="preserve"> course may require up to 5 hours p/w of self-directed </w:t>
            </w:r>
            <w:r w:rsidR="00E02690">
              <w:rPr>
                <w:rFonts w:ascii="Tahoma" w:hAnsi="Tahoma" w:cs="Tahoma"/>
                <w:sz w:val="20"/>
                <w:szCs w:val="20"/>
              </w:rPr>
              <w:t>study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38700A">
              <w:rPr>
                <w:rFonts w:ascii="Tahoma" w:hAnsi="Tahoma" w:cs="Tahoma"/>
                <w:sz w:val="20"/>
                <w:szCs w:val="20"/>
              </w:rPr>
              <w:t xml:space="preserve">allow 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>complet</w:t>
            </w:r>
            <w:r w:rsidR="0038700A">
              <w:rPr>
                <w:rFonts w:ascii="Tahoma" w:hAnsi="Tahoma" w:cs="Tahoma"/>
                <w:sz w:val="20"/>
                <w:szCs w:val="20"/>
              </w:rPr>
              <w:t>ing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 xml:space="preserve"> any assignments unfinished during class hours.</w:t>
            </w:r>
          </w:p>
          <w:p w14:paraId="3BF7B60F" w14:textId="77777777" w:rsidR="007C5923" w:rsidRDefault="007C5923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41915F4" w14:textId="0E30A7A7" w:rsidR="007C5923" w:rsidRPr="007C5923" w:rsidRDefault="007C5923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C5923">
              <w:rPr>
                <w:rFonts w:ascii="Tahoma" w:hAnsi="Tahoma" w:cs="Tahoma"/>
                <w:sz w:val="20"/>
                <w:szCs w:val="20"/>
              </w:rPr>
              <w:t>Please note that the delivery details (e.g. delivery day, timings, mode, or length) are subject to change in the event of any unforeseen circumstances.</w:t>
            </w:r>
          </w:p>
        </w:tc>
      </w:tr>
      <w:tr w:rsidR="00C96F24" w:rsidRPr="001B0828" w14:paraId="36C7FC22" w14:textId="77777777" w:rsidTr="0059261D">
        <w:trPr>
          <w:trHeight w:val="1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266A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How to apply?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8D77477" w14:textId="77777777" w:rsidR="00C96F24" w:rsidRPr="00104DA3" w:rsidRDefault="00E04CCF" w:rsidP="003E64B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apply, please fill out</w:t>
            </w:r>
            <w:r w:rsidR="00C96F24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66109" w:rsidRPr="00104DA3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756312">
              <w:rPr>
                <w:rFonts w:ascii="Tahoma" w:hAnsi="Tahoma" w:cs="Tahoma"/>
                <w:sz w:val="20"/>
                <w:szCs w:val="20"/>
              </w:rPr>
              <w:t xml:space="preserve">online form: </w:t>
            </w:r>
            <w:hyperlink r:id="rId9" w:history="1">
              <w:r w:rsidR="00756312" w:rsidRPr="00F93FB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https://forms.office.com/e/CtArg39CH6</w:t>
              </w:r>
            </w:hyperlink>
            <w:r w:rsidR="007563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54A19AD" w14:textId="1F3437AA" w:rsidR="00E20F77" w:rsidRPr="00104DA3" w:rsidRDefault="00E20F77" w:rsidP="008C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Successful applicants will be invited</w:t>
            </w:r>
            <w:r w:rsidR="003B029D"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="001E1304">
              <w:rPr>
                <w:rFonts w:ascii="Tahoma" w:hAnsi="Tahoma" w:cs="Tahoma"/>
                <w:sz w:val="20"/>
                <w:szCs w:val="20"/>
              </w:rPr>
              <w:t xml:space="preserve"> short</w:t>
            </w:r>
            <w:r w:rsidR="003B029D">
              <w:rPr>
                <w:rFonts w:ascii="Tahoma" w:hAnsi="Tahoma" w:cs="Tahoma"/>
                <w:sz w:val="20"/>
                <w:szCs w:val="20"/>
              </w:rPr>
              <w:t xml:space="preserve"> interviews</w:t>
            </w:r>
            <w:r w:rsidR="001E1304">
              <w:rPr>
                <w:rFonts w:ascii="Tahoma" w:hAnsi="Tahoma" w:cs="Tahoma"/>
                <w:sz w:val="20"/>
                <w:szCs w:val="20"/>
              </w:rPr>
              <w:t>, to further ensure the course is suitable to their needs and existing skills</w:t>
            </w:r>
            <w:r w:rsidR="003B029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6F24" w:rsidRPr="001B0828" w14:paraId="71D9ADD5" w14:textId="77777777" w:rsidTr="0059261D">
        <w:trPr>
          <w:trHeight w:val="1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689D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Where?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5A14B8" w14:textId="77777777" w:rsidR="00C96F24" w:rsidRPr="00104DA3" w:rsidRDefault="00C96F24" w:rsidP="00AB10F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Access to Industry, 1</w:t>
            </w:r>
            <w:r w:rsidR="00AB10F0" w:rsidRPr="00104DA3">
              <w:rPr>
                <w:rFonts w:ascii="Tahoma" w:hAnsi="Tahoma" w:cs="Tahoma"/>
                <w:sz w:val="20"/>
                <w:szCs w:val="20"/>
              </w:rPr>
              <w:t>56 Cowgate, EH1 1RP</w:t>
            </w:r>
            <w:r w:rsidR="000C71E7">
              <w:rPr>
                <w:rFonts w:ascii="Tahoma" w:hAnsi="Tahoma" w:cs="Tahoma"/>
                <w:sz w:val="20"/>
                <w:szCs w:val="20"/>
              </w:rPr>
              <w:t xml:space="preserve"> – in </w:t>
            </w:r>
            <w:r w:rsidR="00400B2E">
              <w:rPr>
                <w:rFonts w:ascii="Tahoma" w:hAnsi="Tahoma" w:cs="Tahoma"/>
                <w:sz w:val="20"/>
                <w:szCs w:val="20"/>
              </w:rPr>
              <w:t>person delivery</w:t>
            </w:r>
            <w:r w:rsidR="000C71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6F24" w:rsidRPr="001B0828" w14:paraId="68691CA5" w14:textId="77777777" w:rsidTr="00C33B8B">
        <w:trPr>
          <w:trHeight w:val="7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C029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Progression options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4EC16E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O</w:t>
            </w:r>
            <w:r w:rsidR="00E870A3" w:rsidRPr="00104DA3">
              <w:rPr>
                <w:rFonts w:ascii="Tahoma" w:hAnsi="Tahoma" w:cs="Tahoma"/>
                <w:sz w:val="20"/>
                <w:szCs w:val="20"/>
              </w:rPr>
              <w:t>n completion of this course participants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will be able </w:t>
            </w:r>
            <w:r w:rsidR="005D42EF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104DA3">
              <w:rPr>
                <w:rFonts w:ascii="Tahoma" w:hAnsi="Tahoma" w:cs="Tahoma"/>
                <w:sz w:val="20"/>
                <w:szCs w:val="20"/>
              </w:rPr>
              <w:t>move onto a range of courses, including:</w:t>
            </w:r>
          </w:p>
          <w:p w14:paraId="785F7F4F" w14:textId="14A7F140" w:rsidR="00E20F77" w:rsidRPr="00104DA3" w:rsidRDefault="00D4354E" w:rsidP="00E20F77">
            <w:pPr>
              <w:pStyle w:val="ListParagraph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Develop</w:t>
            </w:r>
            <w:r w:rsidR="009D7C8F">
              <w:rPr>
                <w:rFonts w:ascii="Tahoma" w:eastAsia="Times New Roman" w:hAnsi="Tahoma" w:cs="Tahoma"/>
                <w:sz w:val="20"/>
                <w:szCs w:val="20"/>
              </w:rPr>
              <w:t>ing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Your Data Skills course with Access to Industry</w:t>
            </w:r>
            <w:r w:rsidR="00400B2E">
              <w:rPr>
                <w:rFonts w:ascii="Tahoma" w:eastAsia="Times New Roman" w:hAnsi="Tahoma" w:cs="Tahoma"/>
                <w:sz w:val="20"/>
                <w:szCs w:val="20"/>
              </w:rPr>
              <w:t xml:space="preserve"> &amp; Edinburgh College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E864D6">
              <w:rPr>
                <w:rFonts w:ascii="Tahoma" w:eastAsia="Times New Roman" w:hAnsi="Tahoma" w:cs="Tahoma"/>
                <w:sz w:val="20"/>
                <w:szCs w:val="20"/>
              </w:rPr>
              <w:t xml:space="preserve">SQA 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 xml:space="preserve">Data Skills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SCQF 4)</w:t>
            </w:r>
          </w:p>
          <w:p w14:paraId="02A3FE8D" w14:textId="44E27637" w:rsidR="00C96F24" w:rsidRPr="00104DA3" w:rsidRDefault="00E20F77" w:rsidP="00AB10F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eastAsia="Times New Roman" w:hAnsi="Tahoma" w:cs="Tahoma"/>
                <w:sz w:val="20"/>
                <w:szCs w:val="20"/>
              </w:rPr>
              <w:t>Access to Industry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>’s</w:t>
            </w:r>
            <w:r w:rsidRPr="00104DA3">
              <w:rPr>
                <w:rFonts w:ascii="Tahoma" w:eastAsia="Times New Roman" w:hAnsi="Tahoma" w:cs="Tahoma"/>
                <w:sz w:val="20"/>
                <w:szCs w:val="20"/>
              </w:rPr>
              <w:t xml:space="preserve"> IT course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E864D6">
              <w:rPr>
                <w:rFonts w:ascii="Tahoma" w:eastAsia="Times New Roman" w:hAnsi="Tahoma" w:cs="Tahoma"/>
                <w:sz w:val="20"/>
                <w:szCs w:val="20"/>
              </w:rPr>
              <w:t xml:space="preserve">SQA </w:t>
            </w:r>
            <w:r w:rsidR="000F6001">
              <w:rPr>
                <w:rFonts w:ascii="Tahoma" w:eastAsia="Times New Roman" w:hAnsi="Tahoma" w:cs="Tahoma"/>
                <w:sz w:val="20"/>
                <w:szCs w:val="20"/>
              </w:rPr>
              <w:t>ICT Core S</w:t>
            </w:r>
            <w:r w:rsidR="004513E7">
              <w:rPr>
                <w:rFonts w:ascii="Tahoma" w:eastAsia="Times New Roman" w:hAnsi="Tahoma" w:cs="Tahoma"/>
                <w:sz w:val="20"/>
                <w:szCs w:val="20"/>
              </w:rPr>
              <w:t xml:space="preserve">kills SCQF 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>4/</w:t>
            </w:r>
            <w:r w:rsidR="004513E7">
              <w:rPr>
                <w:rFonts w:ascii="Tahoma" w:eastAsia="Times New Roman" w:hAnsi="Tahoma" w:cs="Tahoma"/>
                <w:sz w:val="20"/>
                <w:szCs w:val="20"/>
              </w:rPr>
              <w:t>5)</w:t>
            </w:r>
          </w:p>
        </w:tc>
      </w:tr>
      <w:tr w:rsidR="00A03FAA" w:rsidRPr="00C343D8" w14:paraId="1DD61A8A" w14:textId="77777777" w:rsidTr="00C33B8B">
        <w:trPr>
          <w:trHeight w:val="39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D357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Support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6C48295" w14:textId="5BB09AE5" w:rsidR="00A03FAA" w:rsidRDefault="00122EE1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Prior to the course start all participants will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 w:rsidR="0077216D">
              <w:rPr>
                <w:rFonts w:ascii="Tahoma" w:hAnsi="Tahoma" w:cs="Tahoma"/>
                <w:sz w:val="20"/>
                <w:szCs w:val="20"/>
              </w:rPr>
              <w:t>required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to register for Access to Industry Access Data programme, which will give them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Pr="00104DA3">
              <w:rPr>
                <w:rFonts w:ascii="Tahoma" w:hAnsi="Tahoma" w:cs="Tahoma"/>
                <w:sz w:val="20"/>
                <w:szCs w:val="20"/>
              </w:rPr>
              <w:t>ccess to a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dedicated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Access Data caseworker to help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with any issues they may face in or out of </w:t>
            </w:r>
            <w:r w:rsidRPr="00104DA3">
              <w:rPr>
                <w:rFonts w:ascii="Tahoma" w:hAnsi="Tahoma" w:cs="Tahoma"/>
                <w:sz w:val="20"/>
                <w:szCs w:val="20"/>
              </w:rPr>
              <w:t>the course</w:t>
            </w:r>
            <w:r w:rsidR="0038700A">
              <w:rPr>
                <w:rFonts w:ascii="Tahoma" w:hAnsi="Tahoma" w:cs="Tahoma"/>
                <w:sz w:val="20"/>
                <w:szCs w:val="20"/>
              </w:rPr>
              <w:t>. Our caseworkers also</w:t>
            </w:r>
            <w:r w:rsidR="0077216D" w:rsidRPr="0077216D">
              <w:rPr>
                <w:rFonts w:ascii="Tahoma" w:hAnsi="Tahoma" w:cs="Tahoma"/>
                <w:sz w:val="20"/>
                <w:szCs w:val="20"/>
              </w:rPr>
              <w:t xml:space="preserve"> provide wider employability support (e.g. CV creation and tailoring, help with job applications and writing supporting statements, interview preparation, and more).</w:t>
            </w:r>
          </w:p>
          <w:p w14:paraId="3BD236AA" w14:textId="77777777" w:rsidR="00DC1E67" w:rsidRDefault="00DC1E67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A87FBDE" w14:textId="77777777" w:rsidR="00DC1E67" w:rsidRPr="00104DA3" w:rsidRDefault="00DC1E67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Access to Industry can provide Day Saver tickets to all students commuting to the course using Lothian Buses.</w:t>
            </w:r>
          </w:p>
        </w:tc>
      </w:tr>
      <w:tr w:rsidR="00A03FAA" w:rsidRPr="00C343D8" w14:paraId="4F385D29" w14:textId="77777777" w:rsidTr="00C33B8B">
        <w:trPr>
          <w:trHeight w:val="33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E06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Fees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086675E" w14:textId="5EB7DF4A" w:rsidR="00A03FAA" w:rsidRPr="00104DA3" w:rsidRDefault="00122EE1" w:rsidP="00122EE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The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course </w:t>
            </w:r>
            <w:r w:rsidRPr="00104DA3">
              <w:rPr>
                <w:rFonts w:ascii="Tahoma" w:hAnsi="Tahoma" w:cs="Tahoma"/>
                <w:sz w:val="20"/>
                <w:szCs w:val="20"/>
              </w:rPr>
              <w:t>is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16D">
              <w:rPr>
                <w:rFonts w:ascii="Tahoma" w:hAnsi="Tahoma" w:cs="Tahoma"/>
                <w:b/>
                <w:sz w:val="20"/>
                <w:szCs w:val="20"/>
              </w:rPr>
              <w:t xml:space="preserve">fully </w:t>
            </w:r>
            <w:r w:rsidR="0059261D">
              <w:rPr>
                <w:rFonts w:ascii="Tahoma" w:hAnsi="Tahoma" w:cs="Tahoma"/>
                <w:b/>
                <w:sz w:val="20"/>
                <w:szCs w:val="20"/>
              </w:rPr>
              <w:t>funded,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but eligibility criteria apply (see below).</w:t>
            </w:r>
          </w:p>
        </w:tc>
      </w:tr>
      <w:tr w:rsidR="00A03FAA" w:rsidRPr="001B0828" w14:paraId="73835EF1" w14:textId="77777777" w:rsidTr="00C33B8B">
        <w:trPr>
          <w:trHeight w:val="264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C9D5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Eligibility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5FDC558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Tahoma" w:hAnsi="Tahoma" w:cs="Tahoma"/>
                <w:sz w:val="20"/>
                <w:szCs w:val="20"/>
              </w:rPr>
              <w:t>Essential criteria – must tick all:</w:t>
            </w:r>
          </w:p>
          <w:p w14:paraId="2388C06D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Unemployed or on a low income</w:t>
            </w:r>
            <w:r w:rsidR="00081D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1D40" w:rsidRPr="00081D40">
              <w:rPr>
                <w:rFonts w:ascii="Tahoma" w:hAnsi="Tahoma" w:cs="Tahoma"/>
                <w:sz w:val="20"/>
                <w:szCs w:val="20"/>
              </w:rPr>
              <w:t>(normally below £18,000 pa)</w:t>
            </w:r>
          </w:p>
          <w:p w14:paraId="504AC806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Lives in Edinburgh (EH1 to EH17 &amp; EH28 to EH30)</w:t>
            </w:r>
          </w:p>
          <w:p w14:paraId="5FE87162" w14:textId="4E1DC0D4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Wants to move into education or employment related to IT or data</w:t>
            </w:r>
            <w:r w:rsidRPr="004513E7">
              <w:rPr>
                <w:rFonts w:ascii="Tahoma" w:hAnsi="Tahoma" w:cs="Tahoma"/>
                <w:sz w:val="20"/>
                <w:szCs w:val="20"/>
              </w:rPr>
              <w:cr/>
            </w:r>
          </w:p>
          <w:p w14:paraId="7352A952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Tahoma" w:hAnsi="Tahoma" w:cs="Tahoma"/>
                <w:sz w:val="20"/>
                <w:szCs w:val="20"/>
              </w:rPr>
              <w:t>Additional criteria – must tick at least one:</w:t>
            </w:r>
          </w:p>
          <w:p w14:paraId="45369E22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Has a disability or a learning difficulty (e.g. dyslexia, ADHD, autism spectrum etc.)</w:t>
            </w:r>
          </w:p>
          <w:p w14:paraId="5B5D5531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A woman</w:t>
            </w:r>
          </w:p>
          <w:p w14:paraId="269A26A6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Armed Forces Veteran</w:t>
            </w:r>
          </w:p>
          <w:p w14:paraId="02C96CB9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Minority ethnic background</w:t>
            </w:r>
          </w:p>
          <w:p w14:paraId="045CB473" w14:textId="77777777" w:rsidR="00C33B8B" w:rsidRPr="00104DA3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 parental responsibilities</w:t>
            </w:r>
          </w:p>
        </w:tc>
      </w:tr>
      <w:tr w:rsidR="00C33B8B" w:rsidRPr="001B0828" w14:paraId="426F0C35" w14:textId="77777777" w:rsidTr="0059261D">
        <w:trPr>
          <w:trHeight w:val="843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91B" w14:textId="77777777" w:rsidR="00C33B8B" w:rsidRPr="00C33B8B" w:rsidRDefault="00C33B8B" w:rsidP="001B082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3B8B">
              <w:rPr>
                <w:rFonts w:ascii="Tahoma" w:hAnsi="Tahoma" w:cs="Tahoma"/>
                <w:b/>
                <w:bCs/>
                <w:sz w:val="20"/>
                <w:szCs w:val="20"/>
              </w:rPr>
              <w:t>Entry Requirements</w:t>
            </w:r>
          </w:p>
        </w:tc>
        <w:tc>
          <w:tcPr>
            <w:tcW w:w="17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418B37" w14:textId="35C6C2ED" w:rsidR="00C33B8B" w:rsidRDefault="00026310" w:rsidP="00C33B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Basic use of IT (turning a PC on/off; using an internet browser such as Chrome, Edge or other; accessing</w:t>
            </w:r>
            <w:r w:rsidR="003F1A2A">
              <w:rPr>
                <w:rFonts w:ascii="Tahoma" w:hAnsi="Tahoma" w:cs="Tahoma"/>
                <w:sz w:val="20"/>
                <w:szCs w:val="20"/>
              </w:rPr>
              <w:t xml:space="preserve"> and opening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folders &amp; files; sending and receiving emails). Some basic familiarity with any of the MS Office software </w:t>
            </w:r>
            <w:r w:rsidR="003F1A2A">
              <w:rPr>
                <w:rFonts w:ascii="Tahoma" w:hAnsi="Tahoma" w:cs="Tahoma"/>
                <w:sz w:val="20"/>
                <w:szCs w:val="20"/>
              </w:rPr>
              <w:t xml:space="preserve">(including old versions) </w:t>
            </w:r>
            <w:r>
              <w:rPr>
                <w:rFonts w:ascii="Tahoma" w:hAnsi="Tahoma" w:cs="Tahoma"/>
                <w:sz w:val="20"/>
                <w:szCs w:val="20"/>
              </w:rPr>
              <w:t>would be advantageous but is not required.</w:t>
            </w:r>
          </w:p>
          <w:p w14:paraId="0E867E9F" w14:textId="77777777" w:rsidR="00C33B8B" w:rsidRPr="00A33497" w:rsidRDefault="00C33B8B" w:rsidP="00C33B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8B06713" w14:textId="27A52823" w:rsidR="00C33B8B" w:rsidRPr="004513E7" w:rsidRDefault="00C33B8B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33497">
              <w:rPr>
                <w:rFonts w:ascii="Tahoma" w:hAnsi="Tahoma" w:cs="Tahoma"/>
                <w:sz w:val="20"/>
                <w:szCs w:val="20"/>
              </w:rPr>
              <w:t xml:space="preserve">Our tutors are dedicated to making the course as accessible as possible for students whose first language is not English. However, </w:t>
            </w:r>
            <w:r w:rsidRPr="00A33497">
              <w:rPr>
                <w:rFonts w:ascii="Tahoma" w:hAnsi="Tahoma" w:cs="Tahoma"/>
                <w:b/>
                <w:sz w:val="20"/>
                <w:szCs w:val="20"/>
              </w:rPr>
              <w:t>all participants should be comfortable studying in English with no additional language support</w:t>
            </w:r>
            <w:r w:rsidRPr="00A33497">
              <w:rPr>
                <w:rFonts w:ascii="Tahoma" w:hAnsi="Tahoma" w:cs="Tahoma"/>
                <w:sz w:val="20"/>
                <w:szCs w:val="20"/>
              </w:rPr>
              <w:t>. No formal certification is required but language skills will be assessed during a</w:t>
            </w:r>
            <w:r w:rsidR="00026310">
              <w:rPr>
                <w:rFonts w:ascii="Tahoma" w:hAnsi="Tahoma" w:cs="Tahoma"/>
                <w:sz w:val="20"/>
                <w:szCs w:val="20"/>
              </w:rPr>
              <w:t xml:space="preserve"> course</w:t>
            </w:r>
            <w:r w:rsidRPr="00A33497">
              <w:rPr>
                <w:rFonts w:ascii="Tahoma" w:hAnsi="Tahoma" w:cs="Tahoma"/>
                <w:sz w:val="20"/>
                <w:szCs w:val="20"/>
              </w:rPr>
              <w:t xml:space="preserve"> interview.</w:t>
            </w:r>
          </w:p>
        </w:tc>
      </w:tr>
    </w:tbl>
    <w:p w14:paraId="393431F5" w14:textId="2946D79B" w:rsidR="00AF00E8" w:rsidRPr="005B76FC" w:rsidRDefault="00AF00E8" w:rsidP="00026310">
      <w:pPr>
        <w:spacing w:after="0"/>
        <w:rPr>
          <w:rFonts w:ascii="Tahoma" w:hAnsi="Tahoma" w:cs="Tahoma"/>
          <w:sz w:val="20"/>
          <w:szCs w:val="20"/>
        </w:rPr>
      </w:pPr>
    </w:p>
    <w:sectPr w:rsidR="00AF00E8" w:rsidRPr="005B76FC" w:rsidSect="00A22767">
      <w:pgSz w:w="20639" w:h="14572" w:orient="landscape" w:code="12"/>
      <w:pgMar w:top="993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2FFC" w14:textId="77777777" w:rsidR="00D41188" w:rsidRDefault="00D41188" w:rsidP="00AF00E8">
      <w:pPr>
        <w:spacing w:after="0" w:line="240" w:lineRule="auto"/>
      </w:pPr>
      <w:r>
        <w:separator/>
      </w:r>
    </w:p>
  </w:endnote>
  <w:endnote w:type="continuationSeparator" w:id="0">
    <w:p w14:paraId="34C9C334" w14:textId="77777777" w:rsidR="00D41188" w:rsidRDefault="00D41188" w:rsidP="00AF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F0DD" w14:textId="77777777" w:rsidR="00D41188" w:rsidRDefault="00D41188" w:rsidP="00AF00E8">
      <w:pPr>
        <w:spacing w:after="0" w:line="240" w:lineRule="auto"/>
      </w:pPr>
      <w:r>
        <w:separator/>
      </w:r>
    </w:p>
  </w:footnote>
  <w:footnote w:type="continuationSeparator" w:id="0">
    <w:p w14:paraId="3FBCDDCC" w14:textId="77777777" w:rsidR="00D41188" w:rsidRDefault="00D41188" w:rsidP="00AF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CEF"/>
    <w:multiLevelType w:val="multilevel"/>
    <w:tmpl w:val="59A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5210"/>
    <w:multiLevelType w:val="multilevel"/>
    <w:tmpl w:val="08B422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176B9"/>
    <w:multiLevelType w:val="hybridMultilevel"/>
    <w:tmpl w:val="CC32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921"/>
    <w:multiLevelType w:val="hybridMultilevel"/>
    <w:tmpl w:val="D8E4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7B2A"/>
    <w:multiLevelType w:val="hybridMultilevel"/>
    <w:tmpl w:val="3B1E80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02E4D95"/>
    <w:multiLevelType w:val="hybridMultilevel"/>
    <w:tmpl w:val="1E8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50256"/>
    <w:multiLevelType w:val="hybridMultilevel"/>
    <w:tmpl w:val="0AB2B8BA"/>
    <w:lvl w:ilvl="0" w:tplc="A9BC4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1C98"/>
    <w:multiLevelType w:val="hybridMultilevel"/>
    <w:tmpl w:val="4FD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0AFA"/>
    <w:multiLevelType w:val="hybridMultilevel"/>
    <w:tmpl w:val="A5D6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5840">
    <w:abstractNumId w:val="4"/>
  </w:num>
  <w:num w:numId="2" w16cid:durableId="1000349301">
    <w:abstractNumId w:val="1"/>
  </w:num>
  <w:num w:numId="3" w16cid:durableId="1277442249">
    <w:abstractNumId w:val="8"/>
  </w:num>
  <w:num w:numId="4" w16cid:durableId="720910810">
    <w:abstractNumId w:val="3"/>
  </w:num>
  <w:num w:numId="5" w16cid:durableId="2039500652">
    <w:abstractNumId w:val="7"/>
  </w:num>
  <w:num w:numId="6" w16cid:durableId="282153254">
    <w:abstractNumId w:val="0"/>
  </w:num>
  <w:num w:numId="7" w16cid:durableId="1348480047">
    <w:abstractNumId w:val="2"/>
  </w:num>
  <w:num w:numId="8" w16cid:durableId="558439230">
    <w:abstractNumId w:val="5"/>
  </w:num>
  <w:num w:numId="9" w16cid:durableId="945424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E8"/>
    <w:rsid w:val="00026310"/>
    <w:rsid w:val="000611D9"/>
    <w:rsid w:val="00081D40"/>
    <w:rsid w:val="000A0325"/>
    <w:rsid w:val="000C71E7"/>
    <w:rsid w:val="000F6001"/>
    <w:rsid w:val="00104DA3"/>
    <w:rsid w:val="00122EE1"/>
    <w:rsid w:val="001725B1"/>
    <w:rsid w:val="001B0828"/>
    <w:rsid w:val="001D0735"/>
    <w:rsid w:val="001D3735"/>
    <w:rsid w:val="001E1304"/>
    <w:rsid w:val="001E2D11"/>
    <w:rsid w:val="002844E3"/>
    <w:rsid w:val="002C3D4A"/>
    <w:rsid w:val="002E59B1"/>
    <w:rsid w:val="002F06D6"/>
    <w:rsid w:val="00331C56"/>
    <w:rsid w:val="00335BC5"/>
    <w:rsid w:val="00350F86"/>
    <w:rsid w:val="0035724A"/>
    <w:rsid w:val="0038700A"/>
    <w:rsid w:val="003B029D"/>
    <w:rsid w:val="003E1DBB"/>
    <w:rsid w:val="003E64BE"/>
    <w:rsid w:val="003F1A2A"/>
    <w:rsid w:val="00400B2E"/>
    <w:rsid w:val="00440417"/>
    <w:rsid w:val="004513E7"/>
    <w:rsid w:val="004F3A88"/>
    <w:rsid w:val="00543C15"/>
    <w:rsid w:val="005726F5"/>
    <w:rsid w:val="0059261D"/>
    <w:rsid w:val="005B76FC"/>
    <w:rsid w:val="005D42EF"/>
    <w:rsid w:val="00602B39"/>
    <w:rsid w:val="006151D2"/>
    <w:rsid w:val="006205DD"/>
    <w:rsid w:val="006B0D0C"/>
    <w:rsid w:val="007209EB"/>
    <w:rsid w:val="00720B8C"/>
    <w:rsid w:val="00756312"/>
    <w:rsid w:val="0077216D"/>
    <w:rsid w:val="007C5923"/>
    <w:rsid w:val="00875B29"/>
    <w:rsid w:val="008C42E0"/>
    <w:rsid w:val="009061EE"/>
    <w:rsid w:val="00930554"/>
    <w:rsid w:val="009552F0"/>
    <w:rsid w:val="009737B2"/>
    <w:rsid w:val="009B3B0F"/>
    <w:rsid w:val="009D7C8F"/>
    <w:rsid w:val="00A03FAA"/>
    <w:rsid w:val="00A22767"/>
    <w:rsid w:val="00A674A1"/>
    <w:rsid w:val="00A7736A"/>
    <w:rsid w:val="00A91C63"/>
    <w:rsid w:val="00AB10F0"/>
    <w:rsid w:val="00AC3AE2"/>
    <w:rsid w:val="00AF00E8"/>
    <w:rsid w:val="00B00876"/>
    <w:rsid w:val="00BE1F6C"/>
    <w:rsid w:val="00BF7483"/>
    <w:rsid w:val="00C33B8B"/>
    <w:rsid w:val="00C343D8"/>
    <w:rsid w:val="00C96F24"/>
    <w:rsid w:val="00CA5E3D"/>
    <w:rsid w:val="00CB7531"/>
    <w:rsid w:val="00D41188"/>
    <w:rsid w:val="00D4354E"/>
    <w:rsid w:val="00DC1E67"/>
    <w:rsid w:val="00DD7C27"/>
    <w:rsid w:val="00DF4C29"/>
    <w:rsid w:val="00DF50D6"/>
    <w:rsid w:val="00E0056F"/>
    <w:rsid w:val="00E02690"/>
    <w:rsid w:val="00E04CCF"/>
    <w:rsid w:val="00E20F77"/>
    <w:rsid w:val="00E864D6"/>
    <w:rsid w:val="00E870A3"/>
    <w:rsid w:val="00EF7793"/>
    <w:rsid w:val="00F3502C"/>
    <w:rsid w:val="00F4569A"/>
    <w:rsid w:val="00F66109"/>
    <w:rsid w:val="00FF1C59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3FE0"/>
  <w15:docId w15:val="{16FD1641-AF3E-4C18-B990-8B91D14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0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F00E8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E8"/>
  </w:style>
  <w:style w:type="paragraph" w:styleId="Footer">
    <w:name w:val="footer"/>
    <w:basedOn w:val="Normal"/>
    <w:link w:val="FooterChar"/>
    <w:uiPriority w:val="99"/>
    <w:unhideWhenUsed/>
    <w:rsid w:val="00AF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E8"/>
  </w:style>
  <w:style w:type="character" w:customStyle="1" w:styleId="fontstyle01">
    <w:name w:val="fontstyle01"/>
    <w:basedOn w:val="DefaultParagraphFont"/>
    <w:rsid w:val="00A91C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91C6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college.ac.uk/information-and-advice/college-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CtArg39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102-5125-4C69-BE3C-662C47D3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Keeley-Messier</dc:creator>
  <cp:lastModifiedBy>Magda Gucman</cp:lastModifiedBy>
  <cp:revision>57</cp:revision>
  <cp:lastPrinted>2022-12-01T14:52:00Z</cp:lastPrinted>
  <dcterms:created xsi:type="dcterms:W3CDTF">2021-06-29T20:34:00Z</dcterms:created>
  <dcterms:modified xsi:type="dcterms:W3CDTF">2024-05-27T13:21:00Z</dcterms:modified>
</cp:coreProperties>
</file>